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A5E69" w14:textId="77777777" w:rsidR="0074707D" w:rsidRPr="0074707D" w:rsidRDefault="0074707D" w:rsidP="0074707D">
      <w:pPr>
        <w:rPr>
          <w:b/>
          <w:bCs/>
        </w:rPr>
      </w:pPr>
      <w:r w:rsidRPr="0074707D">
        <w:rPr>
          <w:b/>
          <w:bCs/>
        </w:rPr>
        <w:t>Date &amp; Presenter</w:t>
      </w:r>
    </w:p>
    <w:p w14:paraId="2694A97A" w14:textId="77777777" w:rsidR="0074707D" w:rsidRPr="0074707D" w:rsidRDefault="0074707D" w:rsidP="0074707D">
      <w:pPr>
        <w:numPr>
          <w:ilvl w:val="0"/>
          <w:numId w:val="3"/>
        </w:numPr>
      </w:pPr>
      <w:r w:rsidRPr="0074707D">
        <w:rPr>
          <w:b/>
          <w:bCs/>
        </w:rPr>
        <w:t>Date:</w:t>
      </w:r>
      <w:r w:rsidRPr="0074707D">
        <w:t xml:space="preserve"> February 11, 2026</w:t>
      </w:r>
    </w:p>
    <w:p w14:paraId="3036842A" w14:textId="77777777" w:rsidR="0074707D" w:rsidRPr="0074707D" w:rsidRDefault="0074707D" w:rsidP="0074707D">
      <w:pPr>
        <w:numPr>
          <w:ilvl w:val="0"/>
          <w:numId w:val="3"/>
        </w:numPr>
      </w:pPr>
      <w:r w:rsidRPr="0074707D">
        <w:rPr>
          <w:b/>
          <w:bCs/>
        </w:rPr>
        <w:t>Presenter:</w:t>
      </w:r>
      <w:r w:rsidRPr="0074707D">
        <w:t xml:space="preserve"> Emily Taaffe, Assistant Service Manager, Sheffield Family Hubs</w:t>
      </w:r>
    </w:p>
    <w:p w14:paraId="367906BE" w14:textId="77777777" w:rsidR="0074707D" w:rsidRPr="0074707D" w:rsidRDefault="0074707D" w:rsidP="0074707D">
      <w:r w:rsidRPr="0074707D">
        <w:pict w14:anchorId="10971B8C">
          <v:rect id="_x0000_i1079" style="width:0;height:1.5pt" o:hralign="center" o:hrstd="t" o:hr="t" fillcolor="#a0a0a0" stroked="f"/>
        </w:pict>
      </w:r>
    </w:p>
    <w:p w14:paraId="5C046570" w14:textId="77777777" w:rsidR="0074707D" w:rsidRPr="0074707D" w:rsidRDefault="0074707D" w:rsidP="0074707D">
      <w:pPr>
        <w:rPr>
          <w:b/>
          <w:bCs/>
        </w:rPr>
      </w:pPr>
      <w:r w:rsidRPr="0074707D">
        <w:rPr>
          <w:b/>
          <w:bCs/>
        </w:rPr>
        <w:t>About Sheffield Family Hubs</w:t>
      </w:r>
    </w:p>
    <w:p w14:paraId="2FB45F4B" w14:textId="77777777" w:rsidR="0074707D" w:rsidRPr="0074707D" w:rsidRDefault="0074707D" w:rsidP="0074707D">
      <w:pPr>
        <w:numPr>
          <w:ilvl w:val="0"/>
          <w:numId w:val="4"/>
        </w:numPr>
      </w:pPr>
      <w:r w:rsidRPr="0074707D">
        <w:t>Sheffield Family Hubs are universal, community-based services supporting families and young people from birth to age 19 (or 25 for those with SEND).</w:t>
      </w:r>
    </w:p>
    <w:p w14:paraId="35B87F69" w14:textId="77777777" w:rsidR="0074707D" w:rsidRPr="0074707D" w:rsidRDefault="0074707D" w:rsidP="0074707D">
      <w:pPr>
        <w:numPr>
          <w:ilvl w:val="0"/>
          <w:numId w:val="4"/>
        </w:numPr>
      </w:pPr>
      <w:r w:rsidRPr="0074707D">
        <w:t>The hubs aim to be accessible, warm, and welcoming spaces, offering help, signposting, and connection to a wide range of support.</w:t>
      </w:r>
    </w:p>
    <w:p w14:paraId="01FCBDB5" w14:textId="77777777" w:rsidR="0074707D" w:rsidRPr="0074707D" w:rsidRDefault="0074707D" w:rsidP="0074707D">
      <w:r w:rsidRPr="0074707D">
        <w:pict w14:anchorId="1008947E">
          <v:rect id="_x0000_i1080" style="width:0;height:1.5pt" o:hralign="center" o:hrstd="t" o:hr="t" fillcolor="#a0a0a0" stroked="f"/>
        </w:pict>
      </w:r>
    </w:p>
    <w:p w14:paraId="58068512" w14:textId="77777777" w:rsidR="0074707D" w:rsidRPr="0074707D" w:rsidRDefault="0074707D" w:rsidP="0074707D">
      <w:pPr>
        <w:rPr>
          <w:b/>
          <w:bCs/>
        </w:rPr>
      </w:pPr>
      <w:r w:rsidRPr="0074707D">
        <w:rPr>
          <w:b/>
          <w:bCs/>
        </w:rPr>
        <w:t>Services and Support Offered</w:t>
      </w:r>
    </w:p>
    <w:p w14:paraId="0D2BE5DA" w14:textId="77777777" w:rsidR="0074707D" w:rsidRPr="0074707D" w:rsidRDefault="0074707D" w:rsidP="0074707D">
      <w:pPr>
        <w:numPr>
          <w:ilvl w:val="0"/>
          <w:numId w:val="5"/>
        </w:numPr>
      </w:pPr>
      <w:r w:rsidRPr="0074707D">
        <w:t>Seven main Family Hubs and five link sites across Sheffield, located in areas of higher deprivation.</w:t>
      </w:r>
    </w:p>
    <w:p w14:paraId="681D8C4C" w14:textId="77777777" w:rsidR="0074707D" w:rsidRPr="0074707D" w:rsidRDefault="0074707D" w:rsidP="0074707D">
      <w:pPr>
        <w:numPr>
          <w:ilvl w:val="0"/>
          <w:numId w:val="5"/>
        </w:numPr>
      </w:pPr>
      <w:r w:rsidRPr="0074707D">
        <w:t>Activities and support include infant feeding advice (antenatal and postnatal), doula volunteer service, baby and toddler groups, baby massage, sensory rooms (free and open to all ages), toilet training, and “dump the dummy” sessions.</w:t>
      </w:r>
    </w:p>
    <w:p w14:paraId="509C30FA" w14:textId="77777777" w:rsidR="0074707D" w:rsidRPr="0074707D" w:rsidRDefault="0074707D" w:rsidP="0074707D">
      <w:pPr>
        <w:numPr>
          <w:ilvl w:val="0"/>
          <w:numId w:val="5"/>
        </w:numPr>
      </w:pPr>
      <w:r w:rsidRPr="0074707D">
        <w:t>Parenting programmes, including evidence-based and bespoke options for families with SEND, and peer-led support for parents of children with additional needs.</w:t>
      </w:r>
    </w:p>
    <w:p w14:paraId="130FB9D8" w14:textId="77777777" w:rsidR="0074707D" w:rsidRPr="0074707D" w:rsidRDefault="0074707D" w:rsidP="0074707D">
      <w:pPr>
        <w:numPr>
          <w:ilvl w:val="0"/>
          <w:numId w:val="5"/>
        </w:numPr>
      </w:pPr>
      <w:r w:rsidRPr="0074707D">
        <w:t>Cost of living support, Department of Work and Pensions (DWP) advice, adult learning, employability support, and links to housing advice via Shelter drop-ins.</w:t>
      </w:r>
    </w:p>
    <w:p w14:paraId="5D5950D5" w14:textId="77777777" w:rsidR="0074707D" w:rsidRPr="0074707D" w:rsidRDefault="0074707D" w:rsidP="0074707D">
      <w:pPr>
        <w:numPr>
          <w:ilvl w:val="0"/>
          <w:numId w:val="5"/>
        </w:numPr>
      </w:pPr>
      <w:r w:rsidRPr="0074707D">
        <w:t>Wellbeing clinics for parents, including perinatal mental health peer support.</w:t>
      </w:r>
    </w:p>
    <w:p w14:paraId="467EF284" w14:textId="77777777" w:rsidR="0074707D" w:rsidRPr="0074707D" w:rsidRDefault="0074707D" w:rsidP="0074707D">
      <w:pPr>
        <w:numPr>
          <w:ilvl w:val="0"/>
          <w:numId w:val="5"/>
        </w:numPr>
      </w:pPr>
      <w:r w:rsidRPr="0074707D">
        <w:t>All services are free to access; most do not require referral.</w:t>
      </w:r>
    </w:p>
    <w:p w14:paraId="0F2A8474" w14:textId="77777777" w:rsidR="0074707D" w:rsidRPr="0074707D" w:rsidRDefault="0074707D" w:rsidP="0074707D">
      <w:r w:rsidRPr="0074707D">
        <w:pict w14:anchorId="343555F4">
          <v:rect id="_x0000_i1081" style="width:0;height:1.5pt" o:hralign="center" o:hrstd="t" o:hr="t" fillcolor="#a0a0a0" stroked="f"/>
        </w:pict>
      </w:r>
    </w:p>
    <w:p w14:paraId="6D280917" w14:textId="77777777" w:rsidR="0074707D" w:rsidRPr="0074707D" w:rsidRDefault="0074707D" w:rsidP="0074707D">
      <w:pPr>
        <w:rPr>
          <w:b/>
          <w:bCs/>
        </w:rPr>
      </w:pPr>
      <w:r w:rsidRPr="0074707D">
        <w:rPr>
          <w:b/>
          <w:bCs/>
        </w:rPr>
        <w:t>Accessibility and Inclusion</w:t>
      </w:r>
    </w:p>
    <w:p w14:paraId="33F1A4FA" w14:textId="77777777" w:rsidR="0074707D" w:rsidRPr="0074707D" w:rsidRDefault="0074707D" w:rsidP="0074707D">
      <w:pPr>
        <w:numPr>
          <w:ilvl w:val="0"/>
          <w:numId w:val="6"/>
        </w:numPr>
      </w:pPr>
      <w:r w:rsidRPr="0074707D">
        <w:t>Emphasis on making all groups and spaces inclusive for children and parents with SEND.</w:t>
      </w:r>
    </w:p>
    <w:p w14:paraId="5852DAC5" w14:textId="77777777" w:rsidR="0074707D" w:rsidRPr="0074707D" w:rsidRDefault="0074707D" w:rsidP="0074707D">
      <w:pPr>
        <w:numPr>
          <w:ilvl w:val="0"/>
          <w:numId w:val="6"/>
        </w:numPr>
      </w:pPr>
      <w:r w:rsidRPr="0074707D">
        <w:t>Bespoke groups available, and families are encouraged to discuss accessibility needs with hub staff.</w:t>
      </w:r>
    </w:p>
    <w:p w14:paraId="7D9F8A22" w14:textId="77777777" w:rsidR="0074707D" w:rsidRPr="0074707D" w:rsidRDefault="0074707D" w:rsidP="0074707D">
      <w:pPr>
        <w:numPr>
          <w:ilvl w:val="0"/>
          <w:numId w:val="6"/>
        </w:numPr>
      </w:pPr>
      <w:r w:rsidRPr="0074707D">
        <w:t>Sensory rooms are highlighted as a resource for both children and adults needing sensory breaks.</w:t>
      </w:r>
    </w:p>
    <w:p w14:paraId="6C8340FF" w14:textId="77777777" w:rsidR="0074707D" w:rsidRPr="0074707D" w:rsidRDefault="0074707D" w:rsidP="0074707D">
      <w:r w:rsidRPr="0074707D">
        <w:lastRenderedPageBreak/>
        <w:pict w14:anchorId="7D2F439C">
          <v:rect id="_x0000_i1082" style="width:0;height:1.5pt" o:hralign="center" o:hrstd="t" o:hr="t" fillcolor="#a0a0a0" stroked="f"/>
        </w:pict>
      </w:r>
    </w:p>
    <w:p w14:paraId="02616037" w14:textId="77777777" w:rsidR="0074707D" w:rsidRPr="0074707D" w:rsidRDefault="0074707D" w:rsidP="0074707D">
      <w:pPr>
        <w:rPr>
          <w:b/>
          <w:bCs/>
        </w:rPr>
      </w:pPr>
      <w:r w:rsidRPr="0074707D">
        <w:rPr>
          <w:b/>
          <w:bCs/>
        </w:rPr>
        <w:t>Community Engagement &amp; Feedback</w:t>
      </w:r>
    </w:p>
    <w:p w14:paraId="6CB4CEE8" w14:textId="77777777" w:rsidR="0074707D" w:rsidRPr="0074707D" w:rsidRDefault="0074707D" w:rsidP="0074707D">
      <w:pPr>
        <w:numPr>
          <w:ilvl w:val="0"/>
          <w:numId w:val="7"/>
        </w:numPr>
      </w:pPr>
      <w:r w:rsidRPr="0074707D">
        <w:t xml:space="preserve">Family Hub Coordinators in each locality manage staff and </w:t>
      </w:r>
      <w:proofErr w:type="gramStart"/>
      <w:r w:rsidRPr="0074707D">
        <w:t>provision, and</w:t>
      </w:r>
      <w:proofErr w:type="gramEnd"/>
      <w:r w:rsidRPr="0074707D">
        <w:t xml:space="preserve"> are available for feedback and suggestions.</w:t>
      </w:r>
    </w:p>
    <w:p w14:paraId="6F728B93" w14:textId="77777777" w:rsidR="0074707D" w:rsidRPr="0074707D" w:rsidRDefault="0074707D" w:rsidP="0074707D">
      <w:pPr>
        <w:numPr>
          <w:ilvl w:val="0"/>
          <w:numId w:val="7"/>
        </w:numPr>
      </w:pPr>
      <w:r w:rsidRPr="0074707D">
        <w:t>Parent carer panels, feedback boxes, and parent representation on governance meetings ensure community voices shape services.</w:t>
      </w:r>
    </w:p>
    <w:p w14:paraId="18616989" w14:textId="77777777" w:rsidR="0074707D" w:rsidRPr="0074707D" w:rsidRDefault="0074707D" w:rsidP="0074707D">
      <w:pPr>
        <w:numPr>
          <w:ilvl w:val="0"/>
          <w:numId w:val="7"/>
        </w:numPr>
      </w:pPr>
      <w:r w:rsidRPr="0074707D">
        <w:t>Registration with Family Hubs is encouraged (not required) to receive updates and help target support.</w:t>
      </w:r>
    </w:p>
    <w:p w14:paraId="6C1A6C3B" w14:textId="77777777" w:rsidR="0074707D" w:rsidRPr="0074707D" w:rsidRDefault="0074707D" w:rsidP="0074707D">
      <w:r w:rsidRPr="0074707D">
        <w:pict w14:anchorId="1941ACF0">
          <v:rect id="_x0000_i1083" style="width:0;height:1.5pt" o:hralign="center" o:hrstd="t" o:hr="t" fillcolor="#a0a0a0" stroked="f"/>
        </w:pict>
      </w:r>
    </w:p>
    <w:p w14:paraId="4CB70DDE" w14:textId="77777777" w:rsidR="0074707D" w:rsidRPr="0074707D" w:rsidRDefault="0074707D" w:rsidP="0074707D">
      <w:pPr>
        <w:rPr>
          <w:b/>
          <w:bCs/>
        </w:rPr>
      </w:pPr>
      <w:r w:rsidRPr="0074707D">
        <w:rPr>
          <w:b/>
          <w:bCs/>
        </w:rPr>
        <w:t>One-to-One and Outreach Support</w:t>
      </w:r>
    </w:p>
    <w:p w14:paraId="259BCFFF" w14:textId="77777777" w:rsidR="0074707D" w:rsidRPr="0074707D" w:rsidRDefault="0074707D" w:rsidP="0074707D">
      <w:pPr>
        <w:numPr>
          <w:ilvl w:val="0"/>
          <w:numId w:val="8"/>
        </w:numPr>
      </w:pPr>
      <w:r w:rsidRPr="0074707D">
        <w:t>Prevention workers offer low-level, one-to-one support in homes for families needing confidence to access community groups or help with practical needs.</w:t>
      </w:r>
    </w:p>
    <w:p w14:paraId="65873503" w14:textId="77777777" w:rsidR="0074707D" w:rsidRPr="0074707D" w:rsidRDefault="0074707D" w:rsidP="0074707D">
      <w:pPr>
        <w:numPr>
          <w:ilvl w:val="0"/>
          <w:numId w:val="8"/>
        </w:numPr>
      </w:pPr>
      <w:r w:rsidRPr="0074707D">
        <w:t>Self-referral is possible; professionals can refer using an early help assessment.</w:t>
      </w:r>
    </w:p>
    <w:p w14:paraId="0F09A9F5" w14:textId="77777777" w:rsidR="0074707D" w:rsidRPr="0074707D" w:rsidRDefault="0074707D" w:rsidP="0074707D">
      <w:r w:rsidRPr="0074707D">
        <w:pict w14:anchorId="07943102">
          <v:rect id="_x0000_i1084" style="width:0;height:1.5pt" o:hralign="center" o:hrstd="t" o:hr="t" fillcolor="#a0a0a0" stroked="f"/>
        </w:pict>
      </w:r>
    </w:p>
    <w:p w14:paraId="00C9C4C5" w14:textId="77777777" w:rsidR="0074707D" w:rsidRPr="0074707D" w:rsidRDefault="0074707D" w:rsidP="0074707D">
      <w:pPr>
        <w:rPr>
          <w:b/>
          <w:bCs/>
        </w:rPr>
      </w:pPr>
      <w:r w:rsidRPr="0074707D">
        <w:rPr>
          <w:b/>
          <w:bCs/>
        </w:rPr>
        <w:t>Family Hub Network &amp; Partnerships</w:t>
      </w:r>
    </w:p>
    <w:p w14:paraId="578E65D9" w14:textId="77777777" w:rsidR="0074707D" w:rsidRPr="0074707D" w:rsidRDefault="0074707D" w:rsidP="0074707D">
      <w:pPr>
        <w:numPr>
          <w:ilvl w:val="0"/>
          <w:numId w:val="9"/>
        </w:numPr>
      </w:pPr>
      <w:r w:rsidRPr="0074707D">
        <w:t>Building a network of voluntary, community, and faith sector partners to improve connections and signposting.</w:t>
      </w:r>
    </w:p>
    <w:p w14:paraId="0CE61D16" w14:textId="77777777" w:rsidR="0074707D" w:rsidRPr="0074707D" w:rsidRDefault="0074707D" w:rsidP="0074707D">
      <w:pPr>
        <w:numPr>
          <w:ilvl w:val="0"/>
          <w:numId w:val="9"/>
        </w:numPr>
      </w:pPr>
      <w:r w:rsidRPr="0074707D">
        <w:t>Aim to ensure families can access support from trusted local organizations, not just the main hubs.</w:t>
      </w:r>
    </w:p>
    <w:p w14:paraId="72F69F78" w14:textId="77777777" w:rsidR="0074707D" w:rsidRPr="0074707D" w:rsidRDefault="0074707D" w:rsidP="0074707D">
      <w:r w:rsidRPr="0074707D">
        <w:pict w14:anchorId="5B28C795">
          <v:rect id="_x0000_i1085" style="width:0;height:1.5pt" o:hralign="center" o:hrstd="t" o:hr="t" fillcolor="#a0a0a0" stroked="f"/>
        </w:pict>
      </w:r>
    </w:p>
    <w:p w14:paraId="7A50AD8F" w14:textId="77777777" w:rsidR="0074707D" w:rsidRPr="0074707D" w:rsidRDefault="0074707D" w:rsidP="0074707D">
      <w:pPr>
        <w:rPr>
          <w:b/>
          <w:bCs/>
        </w:rPr>
      </w:pPr>
      <w:r w:rsidRPr="0074707D">
        <w:rPr>
          <w:b/>
          <w:bCs/>
        </w:rPr>
        <w:t>Information &amp; Resources</w:t>
      </w:r>
    </w:p>
    <w:p w14:paraId="041F479B" w14:textId="77777777" w:rsidR="0074707D" w:rsidRPr="0074707D" w:rsidRDefault="0074707D" w:rsidP="0074707D">
      <w:pPr>
        <w:numPr>
          <w:ilvl w:val="0"/>
          <w:numId w:val="10"/>
        </w:numPr>
      </w:pPr>
      <w:r w:rsidRPr="0074707D">
        <w:t>Sheffield Directory and Local Offer provide comprehensive, translatable information about available services.</w:t>
      </w:r>
    </w:p>
    <w:p w14:paraId="3F0AB424" w14:textId="77777777" w:rsidR="0074707D" w:rsidRPr="0074707D" w:rsidRDefault="0074707D" w:rsidP="0074707D">
      <w:pPr>
        <w:numPr>
          <w:ilvl w:val="0"/>
          <w:numId w:val="10"/>
        </w:numPr>
      </w:pPr>
      <w:r w:rsidRPr="0074707D">
        <w:t>Social media channels (YouTube, Facebook, Instagram) are used to share updates and resources.</w:t>
      </w:r>
    </w:p>
    <w:p w14:paraId="18AD90B6" w14:textId="77777777" w:rsidR="0074707D" w:rsidRPr="0074707D" w:rsidRDefault="0074707D" w:rsidP="0074707D">
      <w:r w:rsidRPr="0074707D">
        <w:pict w14:anchorId="467D7F43">
          <v:rect id="_x0000_i1086" style="width:0;height:1.5pt" o:hralign="center" o:hrstd="t" o:hr="t" fillcolor="#a0a0a0" stroked="f"/>
        </w:pict>
      </w:r>
    </w:p>
    <w:p w14:paraId="55956278" w14:textId="77777777" w:rsidR="0074707D" w:rsidRPr="0074707D" w:rsidRDefault="0074707D" w:rsidP="0074707D">
      <w:pPr>
        <w:rPr>
          <w:b/>
          <w:bCs/>
        </w:rPr>
      </w:pPr>
      <w:r w:rsidRPr="0074707D">
        <w:rPr>
          <w:b/>
          <w:bCs/>
        </w:rPr>
        <w:t>Key Discussion Points &amp; Q&amp;A</w:t>
      </w:r>
    </w:p>
    <w:p w14:paraId="5EEF72F4" w14:textId="77777777" w:rsidR="0074707D" w:rsidRPr="0074707D" w:rsidRDefault="0074707D" w:rsidP="0074707D">
      <w:pPr>
        <w:numPr>
          <w:ilvl w:val="0"/>
          <w:numId w:val="11"/>
        </w:numPr>
      </w:pPr>
      <w:r w:rsidRPr="0074707D">
        <w:t>The service has evolved from previous Sure Start and Family Centre models, with improved funding and sustainability until at least 2029.</w:t>
      </w:r>
    </w:p>
    <w:p w14:paraId="2319E0EB" w14:textId="77777777" w:rsidR="0074707D" w:rsidRPr="0074707D" w:rsidRDefault="0074707D" w:rsidP="0074707D">
      <w:pPr>
        <w:numPr>
          <w:ilvl w:val="0"/>
          <w:numId w:val="11"/>
        </w:numPr>
      </w:pPr>
      <w:r w:rsidRPr="0074707D">
        <w:t>DWP advice is available to parents of children up to age 19 (or 25 with SEND).</w:t>
      </w:r>
    </w:p>
    <w:p w14:paraId="32D66EE3" w14:textId="77777777" w:rsidR="0074707D" w:rsidRPr="0074707D" w:rsidRDefault="0074707D" w:rsidP="0074707D">
      <w:pPr>
        <w:numPr>
          <w:ilvl w:val="0"/>
          <w:numId w:val="11"/>
        </w:numPr>
      </w:pPr>
      <w:r w:rsidRPr="0074707D">
        <w:lastRenderedPageBreak/>
        <w:t>Preparation for adulthood is seen as starting from birth, with early years support critical for later outcomes.</w:t>
      </w:r>
    </w:p>
    <w:p w14:paraId="6768DA4C" w14:textId="77777777" w:rsidR="0074707D" w:rsidRPr="0074707D" w:rsidRDefault="0074707D" w:rsidP="0074707D">
      <w:pPr>
        <w:numPr>
          <w:ilvl w:val="0"/>
          <w:numId w:val="11"/>
        </w:numPr>
      </w:pPr>
      <w:r w:rsidRPr="0074707D">
        <w:t>Post-16 education options and guides are available via the Local Offer, with additional events planned to cover employment, skills, and further support.</w:t>
      </w:r>
    </w:p>
    <w:p w14:paraId="3C8B7BAA" w14:textId="77777777" w:rsidR="0074707D" w:rsidRPr="0074707D" w:rsidRDefault="0074707D" w:rsidP="0074707D">
      <w:r w:rsidRPr="0074707D">
        <w:pict w14:anchorId="578808E7">
          <v:rect id="_x0000_i1087" style="width:0;height:1.5pt" o:hralign="center" o:hrstd="t" o:hr="t" fillcolor="#a0a0a0" stroked="f"/>
        </w:pict>
      </w:r>
    </w:p>
    <w:p w14:paraId="4E13EB5E" w14:textId="77777777" w:rsidR="0074707D" w:rsidRPr="0074707D" w:rsidRDefault="0074707D" w:rsidP="0074707D">
      <w:pPr>
        <w:rPr>
          <w:b/>
          <w:bCs/>
        </w:rPr>
      </w:pPr>
      <w:r w:rsidRPr="0074707D">
        <w:rPr>
          <w:b/>
          <w:bCs/>
        </w:rPr>
        <w:t>Contact &amp; Next Steps</w:t>
      </w:r>
    </w:p>
    <w:p w14:paraId="6D396158" w14:textId="77777777" w:rsidR="0074707D" w:rsidRPr="0074707D" w:rsidRDefault="0074707D" w:rsidP="0074707D">
      <w:pPr>
        <w:numPr>
          <w:ilvl w:val="0"/>
          <w:numId w:val="12"/>
        </w:numPr>
      </w:pPr>
      <w:r w:rsidRPr="0074707D">
        <w:t>Families and professionals are encouraged to visit hubs, register for updates, and provide feedback.</w:t>
      </w:r>
    </w:p>
    <w:p w14:paraId="4D5851E6" w14:textId="77777777" w:rsidR="0074707D" w:rsidRPr="0074707D" w:rsidRDefault="0074707D" w:rsidP="0074707D">
      <w:pPr>
        <w:numPr>
          <w:ilvl w:val="0"/>
          <w:numId w:val="12"/>
        </w:numPr>
      </w:pPr>
      <w:r w:rsidRPr="0074707D">
        <w:t>Upcoming events and resources are shared via Eventbrite and the Local Offer website.</w:t>
      </w:r>
    </w:p>
    <w:p w14:paraId="504AB1CE" w14:textId="77777777" w:rsidR="0074707D" w:rsidRPr="0074707D" w:rsidRDefault="0074707D" w:rsidP="0074707D">
      <w:pPr>
        <w:numPr>
          <w:ilvl w:val="0"/>
          <w:numId w:val="12"/>
        </w:numPr>
      </w:pPr>
      <w:r w:rsidRPr="0074707D">
        <w:t>Volunteer opportunities are available for community members.</w:t>
      </w:r>
    </w:p>
    <w:p w14:paraId="1E9F58B3" w14:textId="77777777" w:rsidR="004704C2" w:rsidRDefault="004704C2"/>
    <w:sectPr w:rsidR="004704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3FBD"/>
    <w:multiLevelType w:val="multilevel"/>
    <w:tmpl w:val="DE24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F2D11"/>
    <w:multiLevelType w:val="multilevel"/>
    <w:tmpl w:val="3348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066EA"/>
    <w:multiLevelType w:val="multilevel"/>
    <w:tmpl w:val="EB2CC0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662D3"/>
    <w:multiLevelType w:val="multilevel"/>
    <w:tmpl w:val="144E4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D64E97"/>
    <w:multiLevelType w:val="multilevel"/>
    <w:tmpl w:val="80944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0E1641"/>
    <w:multiLevelType w:val="multilevel"/>
    <w:tmpl w:val="E1A4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86EA0"/>
    <w:multiLevelType w:val="multilevel"/>
    <w:tmpl w:val="758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961B8F"/>
    <w:multiLevelType w:val="multilevel"/>
    <w:tmpl w:val="062E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6F0CAB"/>
    <w:multiLevelType w:val="multilevel"/>
    <w:tmpl w:val="483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D01CFC"/>
    <w:multiLevelType w:val="multilevel"/>
    <w:tmpl w:val="479E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D513E"/>
    <w:multiLevelType w:val="multilevel"/>
    <w:tmpl w:val="EB1C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C2A88"/>
    <w:multiLevelType w:val="multilevel"/>
    <w:tmpl w:val="A760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3017480">
    <w:abstractNumId w:val="2"/>
  </w:num>
  <w:num w:numId="2" w16cid:durableId="725760133">
    <w:abstractNumId w:val="8"/>
  </w:num>
  <w:num w:numId="3" w16cid:durableId="696588867">
    <w:abstractNumId w:val="1"/>
  </w:num>
  <w:num w:numId="4" w16cid:durableId="322896840">
    <w:abstractNumId w:val="4"/>
  </w:num>
  <w:num w:numId="5" w16cid:durableId="1731340997">
    <w:abstractNumId w:val="6"/>
  </w:num>
  <w:num w:numId="6" w16cid:durableId="547911677">
    <w:abstractNumId w:val="0"/>
  </w:num>
  <w:num w:numId="7" w16cid:durableId="959797271">
    <w:abstractNumId w:val="11"/>
  </w:num>
  <w:num w:numId="8" w16cid:durableId="2060662956">
    <w:abstractNumId w:val="5"/>
  </w:num>
  <w:num w:numId="9" w16cid:durableId="965550274">
    <w:abstractNumId w:val="10"/>
  </w:num>
  <w:num w:numId="10" w16cid:durableId="1759134032">
    <w:abstractNumId w:val="9"/>
  </w:num>
  <w:num w:numId="11" w16cid:durableId="1674842574">
    <w:abstractNumId w:val="7"/>
  </w:num>
  <w:num w:numId="12" w16cid:durableId="1782995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C2"/>
    <w:rsid w:val="004704C2"/>
    <w:rsid w:val="00657A01"/>
    <w:rsid w:val="00747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EEF2D"/>
  <w15:chartTrackingRefBased/>
  <w15:docId w15:val="{C5E573F3-714F-4BCC-9389-68FD7EACE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4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4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4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4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4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4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4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4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4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4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4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4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4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4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4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4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4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4C2"/>
    <w:rPr>
      <w:rFonts w:eastAsiaTheme="majorEastAsia" w:cstheme="majorBidi"/>
      <w:color w:val="272727" w:themeColor="text1" w:themeTint="D8"/>
    </w:rPr>
  </w:style>
  <w:style w:type="paragraph" w:styleId="Title">
    <w:name w:val="Title"/>
    <w:basedOn w:val="Normal"/>
    <w:next w:val="Normal"/>
    <w:link w:val="TitleChar"/>
    <w:uiPriority w:val="10"/>
    <w:qFormat/>
    <w:rsid w:val="00470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4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4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4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4C2"/>
    <w:pPr>
      <w:spacing w:before="160"/>
      <w:jc w:val="center"/>
    </w:pPr>
    <w:rPr>
      <w:i/>
      <w:iCs/>
      <w:color w:val="404040" w:themeColor="text1" w:themeTint="BF"/>
    </w:rPr>
  </w:style>
  <w:style w:type="character" w:customStyle="1" w:styleId="QuoteChar">
    <w:name w:val="Quote Char"/>
    <w:basedOn w:val="DefaultParagraphFont"/>
    <w:link w:val="Quote"/>
    <w:uiPriority w:val="29"/>
    <w:rsid w:val="004704C2"/>
    <w:rPr>
      <w:i/>
      <w:iCs/>
      <w:color w:val="404040" w:themeColor="text1" w:themeTint="BF"/>
    </w:rPr>
  </w:style>
  <w:style w:type="paragraph" w:styleId="ListParagraph">
    <w:name w:val="List Paragraph"/>
    <w:basedOn w:val="Normal"/>
    <w:uiPriority w:val="34"/>
    <w:qFormat/>
    <w:rsid w:val="004704C2"/>
    <w:pPr>
      <w:ind w:left="720"/>
      <w:contextualSpacing/>
    </w:pPr>
  </w:style>
  <w:style w:type="character" w:styleId="IntenseEmphasis">
    <w:name w:val="Intense Emphasis"/>
    <w:basedOn w:val="DefaultParagraphFont"/>
    <w:uiPriority w:val="21"/>
    <w:qFormat/>
    <w:rsid w:val="004704C2"/>
    <w:rPr>
      <w:i/>
      <w:iCs/>
      <w:color w:val="0F4761" w:themeColor="accent1" w:themeShade="BF"/>
    </w:rPr>
  </w:style>
  <w:style w:type="paragraph" w:styleId="IntenseQuote">
    <w:name w:val="Intense Quote"/>
    <w:basedOn w:val="Normal"/>
    <w:next w:val="Normal"/>
    <w:link w:val="IntenseQuoteChar"/>
    <w:uiPriority w:val="30"/>
    <w:qFormat/>
    <w:rsid w:val="004704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4C2"/>
    <w:rPr>
      <w:i/>
      <w:iCs/>
      <w:color w:val="0F4761" w:themeColor="accent1" w:themeShade="BF"/>
    </w:rPr>
  </w:style>
  <w:style w:type="character" w:styleId="IntenseReference">
    <w:name w:val="Intense Reference"/>
    <w:basedOn w:val="DefaultParagraphFont"/>
    <w:uiPriority w:val="32"/>
    <w:qFormat/>
    <w:rsid w:val="004704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502</Words>
  <Characters>2972</Characters>
  <Application>Microsoft Office Word</Application>
  <DocSecurity>0</DocSecurity>
  <Lines>52</Lines>
  <Paragraphs>16</Paragraphs>
  <ScaleCrop>false</ScaleCrop>
  <HeadingPairs>
    <vt:vector size="2" baseType="variant">
      <vt:variant>
        <vt:lpstr>Title</vt:lpstr>
      </vt:variant>
      <vt:variant>
        <vt:i4>1</vt:i4>
      </vt:variant>
    </vt:vector>
  </HeadingPairs>
  <TitlesOfParts>
    <vt:vector size="1" baseType="lpstr">
      <vt:lpstr/>
    </vt:vector>
  </TitlesOfParts>
  <Company>Sheffield City Council</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Swift</dc:creator>
  <cp:keywords/>
  <dc:description/>
  <cp:lastModifiedBy>Maria Swift</cp:lastModifiedBy>
  <cp:revision>1</cp:revision>
  <dcterms:created xsi:type="dcterms:W3CDTF">2026-02-18T10:24:00Z</dcterms:created>
  <dcterms:modified xsi:type="dcterms:W3CDTF">2026-02-18T11:42:00Z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2026-02-18T11:42:14Z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1d9b8a58-9ab7-46c1-9c73-323bf21596d4</vt:lpwstr>
  </property>
  <property fmtid="{D5CDD505-2E9C-101B-9397-08002B2CF9AE}" pid="8" name="MSIP_Label_c8588358-c3f1-4695-a290-e2f70d15689d_ContentBits">
    <vt:lpwstr>0</vt:lpwstr>
  </property>
  <property fmtid="{D5CDD505-2E9C-101B-9397-08002B2CF9AE}" pid="9" name="MSIP_Label_c8588358-c3f1-4695-a290-e2f70d15689d_Tag">
    <vt:lpwstr>10, 0, 1, 1</vt:lpwstr>
  </property>
</Properties>
</file>